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72F21" w:rsid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772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2F21">
        <w:rPr>
          <w:rFonts w:ascii="Times New Roman" w:hAnsi="Times New Roman" w:cs="Times New Roman"/>
          <w:bCs/>
          <w:sz w:val="24"/>
          <w:szCs w:val="24"/>
        </w:rPr>
        <w:t>86MS0049-01-2025-003330-33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72F21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«Ветеринарный центр «Элитвет» Колпакова Сергея Викторови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2F2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>Колпаков С.В</w:t>
      </w:r>
      <w:r w:rsidRP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генеральным</w:t>
      </w:r>
      <w:r w:rsidRPr="00772F21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директором ООО «Ветеринарный центр «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Элитвет»</w:t>
      </w:r>
      <w:r w:rsidRP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ул. Салманова, д. 4, помещение 1004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ИНН/КПП 8603226877</w:t>
      </w:r>
      <w:r w:rsidRPr="00772F21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.02.2025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>Колпаков С.В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Колпакова С.В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Колпакова С.В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правонарушении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2F21" w:rsidR="00772F2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86032514800573500001</w:t>
      </w:r>
      <w:r w:rsidRPr="00772F21" w:rsidR="00C75BB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772F21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772F21" w:rsid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.02.2025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21" w:rsid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.02.2025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Колпаков С.В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</w:t>
      </w:r>
      <w:r w:rsidRPr="00772F21">
        <w:rPr>
          <w:rFonts w:ascii="Times New Roman" w:hAnsi="Times New Roman" w:cs="Times New Roman"/>
          <w:sz w:val="24"/>
          <w:szCs w:val="24"/>
        </w:rPr>
        <w:t xml:space="preserve">вонарушения, личность виновного, отсутствие смягчающих и отягчающих </w:t>
      </w:r>
      <w:r w:rsidRPr="00772F21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</w:t>
      </w:r>
      <w:r w:rsidRPr="00772F21">
        <w:rPr>
          <w:rFonts w:ascii="Times New Roman" w:hAnsi="Times New Roman" w:cs="Times New Roman"/>
          <w:sz w:val="24"/>
          <w:szCs w:val="24"/>
        </w:rPr>
        <w:t xml:space="preserve">влечения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Колпакова С.В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</w:t>
      </w:r>
      <w:r w:rsidRPr="00772F21">
        <w:rPr>
          <w:rFonts w:ascii="Times New Roman" w:hAnsi="Times New Roman" w:cs="Times New Roman"/>
          <w:sz w:val="24"/>
          <w:szCs w:val="24"/>
        </w:rPr>
        <w:t>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«Ветеринарный центр «Элитвет</w:t>
      </w:r>
      <w:r w:rsidRPr="00772F21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Колпакова Сергея Викторовича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354F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74772"/>
    <w:rsid w:val="00213A33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9F2F62"/>
    <w:rsid w:val="00AF5CAE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